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58CFA" w14:textId="14E67278" w:rsidR="002E331D" w:rsidRDefault="002E331D" w:rsidP="00805F23">
      <w:pPr>
        <w:pStyle w:val="Nagwek1"/>
        <w:numPr>
          <w:ilvl w:val="0"/>
          <w:numId w:val="0"/>
        </w:numPr>
        <w:ind w:left="432" w:hanging="432"/>
      </w:pPr>
      <w:bookmarkStart w:id="0" w:name="_Toc91159581"/>
      <w:r>
        <w:t xml:space="preserve">Województwo Łódzkie </w:t>
      </w:r>
    </w:p>
    <w:p w14:paraId="5E29EC04" w14:textId="77777777" w:rsidR="0059701B" w:rsidRDefault="0059701B" w:rsidP="002E331D">
      <w:pPr>
        <w:pStyle w:val="Nagwek3"/>
      </w:pPr>
      <w:r>
        <w:t>Wartość wskaźnika dla RPO Województwa Łódzkiego</w:t>
      </w:r>
      <w:bookmarkEnd w:id="0"/>
    </w:p>
    <w:p w14:paraId="556DD1C5" w14:textId="77777777" w:rsidR="00844AC3" w:rsidRDefault="00844AC3" w:rsidP="00844AC3">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66668891" w14:textId="4A494F7F" w:rsidR="0059701B" w:rsidRDefault="00844AC3" w:rsidP="0059701B">
      <w:r>
        <w:t xml:space="preserve">Analiza wykazała, że w ramach </w:t>
      </w:r>
      <w:r w:rsidR="0059701B" w:rsidRPr="001F3195">
        <w:rPr>
          <w:b/>
          <w:bCs/>
        </w:rPr>
        <w:t xml:space="preserve">RPO Województwa </w:t>
      </w:r>
      <w:r w:rsidR="0059701B">
        <w:rPr>
          <w:b/>
          <w:bCs/>
        </w:rPr>
        <w:t xml:space="preserve">Łódzkiego </w:t>
      </w:r>
      <w:r w:rsidRPr="00451619">
        <w:t xml:space="preserve">osiągnięto wartość wskaźnika na poziomie: </w:t>
      </w:r>
      <w:r>
        <w:t xml:space="preserve">90,3% </w:t>
      </w:r>
      <w:r w:rsidRPr="00451619">
        <w:t>miejsc pracy, które istniały co najmniej 30 miesięcy</w:t>
      </w:r>
      <w:r>
        <w:rPr>
          <w:b/>
          <w:bCs/>
        </w:rPr>
        <w:t xml:space="preserve"> </w:t>
      </w:r>
      <w:r w:rsidRPr="00451619">
        <w:t>(wartość skumulowana wskaźnika)</w:t>
      </w:r>
      <w:r>
        <w:t>.</w:t>
      </w:r>
      <w:r w:rsidR="0059701B">
        <w:t xml:space="preserve"> IZ Województwa Łódzkiego założyła docelową wartość wskaźnika na poziomie </w:t>
      </w:r>
      <w:r w:rsidR="0059701B">
        <w:rPr>
          <w:b/>
          <w:bCs/>
        </w:rPr>
        <w:t>44</w:t>
      </w:r>
      <w:r w:rsidR="0059701B" w:rsidRPr="00754EA0">
        <w:rPr>
          <w:b/>
          <w:bCs/>
        </w:rPr>
        <w:t xml:space="preserve">%. </w:t>
      </w:r>
      <w:r w:rsidR="0059701B">
        <w:t xml:space="preserve">Oznacza to, że utworzone miejsca pracy w przedsiębiorstwach społecznych charakteryzują się znacznie większą trwałością niż założono na etapie programowania. </w:t>
      </w:r>
    </w:p>
    <w:p w14:paraId="41F5F7F2" w14:textId="77777777" w:rsidR="0059701B" w:rsidRDefault="0059701B" w:rsidP="0059701B">
      <w:pPr>
        <w:pStyle w:val="Legenda"/>
        <w:keepNext/>
      </w:pPr>
    </w:p>
    <w:tbl>
      <w:tblPr>
        <w:tblStyle w:val="Tabela-Siatka"/>
        <w:tblW w:w="0" w:type="auto"/>
        <w:tblLook w:val="04A0" w:firstRow="1" w:lastRow="0" w:firstColumn="1" w:lastColumn="0" w:noHBand="0" w:noVBand="1"/>
      </w:tblPr>
      <w:tblGrid>
        <w:gridCol w:w="4557"/>
        <w:gridCol w:w="4256"/>
      </w:tblGrid>
      <w:tr w:rsidR="0059701B" w14:paraId="4CEEB4D8" w14:textId="77777777" w:rsidTr="001D69EE">
        <w:trPr>
          <w:trHeight w:val="464"/>
        </w:trPr>
        <w:tc>
          <w:tcPr>
            <w:tcW w:w="4557" w:type="dxa"/>
            <w:vAlign w:val="center"/>
          </w:tcPr>
          <w:p w14:paraId="27D6FC41" w14:textId="77777777" w:rsidR="0059701B" w:rsidRPr="00FC6E69" w:rsidRDefault="0059701B" w:rsidP="001D69EE">
            <w:pPr>
              <w:jc w:val="center"/>
              <w:rPr>
                <w:b/>
                <w:bCs/>
              </w:rPr>
            </w:pPr>
            <w:r w:rsidRPr="00FC6E69">
              <w:rPr>
                <w:b/>
                <w:bCs/>
              </w:rPr>
              <w:t>Województwo</w:t>
            </w:r>
          </w:p>
        </w:tc>
        <w:tc>
          <w:tcPr>
            <w:tcW w:w="4256" w:type="dxa"/>
            <w:vAlign w:val="center"/>
          </w:tcPr>
          <w:p w14:paraId="7D980B19" w14:textId="77777777" w:rsidR="0059701B" w:rsidRPr="00FC6E69" w:rsidRDefault="0059701B" w:rsidP="001D69EE">
            <w:pPr>
              <w:jc w:val="center"/>
              <w:rPr>
                <w:b/>
                <w:bCs/>
              </w:rPr>
            </w:pPr>
            <w:r>
              <w:rPr>
                <w:b/>
                <w:bCs/>
              </w:rPr>
              <w:t>łódzkie</w:t>
            </w:r>
          </w:p>
        </w:tc>
      </w:tr>
      <w:tr w:rsidR="0059701B" w14:paraId="6C61EB5E" w14:textId="77777777" w:rsidTr="001D69EE">
        <w:trPr>
          <w:trHeight w:val="464"/>
        </w:trPr>
        <w:tc>
          <w:tcPr>
            <w:tcW w:w="4557" w:type="dxa"/>
            <w:vAlign w:val="center"/>
          </w:tcPr>
          <w:p w14:paraId="7C9C988F" w14:textId="534A39F8" w:rsidR="0059701B" w:rsidRPr="00FC6E69" w:rsidRDefault="0059701B" w:rsidP="001D69EE">
            <w:pPr>
              <w:jc w:val="center"/>
              <w:rPr>
                <w:b/>
                <w:bCs/>
              </w:rPr>
            </w:pPr>
            <w:r>
              <w:t>Docelowa wartość wskaźnika – liczba miejsc pracy utworzonych w przedsiębiorstwach społecznych</w:t>
            </w:r>
            <w:r w:rsidR="002753F2">
              <w:t xml:space="preserve"> </w:t>
            </w:r>
          </w:p>
        </w:tc>
        <w:tc>
          <w:tcPr>
            <w:tcW w:w="4256" w:type="dxa"/>
            <w:vAlign w:val="center"/>
          </w:tcPr>
          <w:p w14:paraId="1E959AD7" w14:textId="77777777" w:rsidR="0059701B" w:rsidRPr="00FC6E69" w:rsidRDefault="0059701B" w:rsidP="001D69EE">
            <w:pPr>
              <w:jc w:val="center"/>
            </w:pPr>
            <w:r w:rsidRPr="00FC6E69">
              <w:t>773</w:t>
            </w:r>
          </w:p>
        </w:tc>
      </w:tr>
      <w:tr w:rsidR="0059701B" w14:paraId="11A8C806" w14:textId="77777777" w:rsidTr="001D69EE">
        <w:trPr>
          <w:trHeight w:val="656"/>
        </w:trPr>
        <w:tc>
          <w:tcPr>
            <w:tcW w:w="4557" w:type="dxa"/>
            <w:vAlign w:val="center"/>
          </w:tcPr>
          <w:p w14:paraId="038F5702" w14:textId="77777777" w:rsidR="0059701B" w:rsidRDefault="0059701B"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256" w:type="dxa"/>
            <w:vAlign w:val="center"/>
          </w:tcPr>
          <w:p w14:paraId="2D09A3E5" w14:textId="77777777" w:rsidR="0059701B" w:rsidRDefault="0059701B" w:rsidP="001D69EE">
            <w:pPr>
              <w:jc w:val="center"/>
            </w:pPr>
            <w:r>
              <w:t xml:space="preserve">340 </w:t>
            </w:r>
          </w:p>
          <w:p w14:paraId="65E15C8F" w14:textId="77777777" w:rsidR="0059701B" w:rsidRDefault="0059701B" w:rsidP="001D69EE">
            <w:pPr>
              <w:jc w:val="center"/>
            </w:pPr>
            <w:r>
              <w:t>(wartość wyliczona na podstawie wartości wyrażonej w %)</w:t>
            </w:r>
          </w:p>
        </w:tc>
      </w:tr>
      <w:tr w:rsidR="0059701B" w14:paraId="1CE9254B" w14:textId="77777777" w:rsidTr="001D69EE">
        <w:trPr>
          <w:trHeight w:val="786"/>
        </w:trPr>
        <w:tc>
          <w:tcPr>
            <w:tcW w:w="4557" w:type="dxa"/>
            <w:vAlign w:val="center"/>
          </w:tcPr>
          <w:p w14:paraId="130E3B24" w14:textId="77777777" w:rsidR="0059701B" w:rsidRDefault="0059701B"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256" w:type="dxa"/>
            <w:vAlign w:val="center"/>
          </w:tcPr>
          <w:p w14:paraId="23FF86F5" w14:textId="77777777" w:rsidR="0059701B" w:rsidRDefault="0059701B" w:rsidP="001D69EE">
            <w:pPr>
              <w:jc w:val="center"/>
            </w:pPr>
            <w:r>
              <w:t>44%</w:t>
            </w:r>
          </w:p>
        </w:tc>
      </w:tr>
      <w:tr w:rsidR="0059701B" w14:paraId="273560AD" w14:textId="77777777" w:rsidTr="00FC77EB">
        <w:trPr>
          <w:trHeight w:val="665"/>
        </w:trPr>
        <w:tc>
          <w:tcPr>
            <w:tcW w:w="4557" w:type="dxa"/>
            <w:shd w:val="clear" w:color="auto" w:fill="auto"/>
            <w:vAlign w:val="center"/>
          </w:tcPr>
          <w:p w14:paraId="3748823E" w14:textId="21107DBF" w:rsidR="0059701B" w:rsidRDefault="00844AC3" w:rsidP="001D69EE">
            <w:pPr>
              <w:jc w:val="center"/>
            </w:pPr>
            <w:r>
              <w:t xml:space="preserve">I Pomiar – </w:t>
            </w:r>
            <w:r w:rsidR="0059701B">
              <w:t>Liczba miejsc pracy objętych analizą (miejsca pracy powstałe między 1.07.2015 – 31.12.2018)</w:t>
            </w:r>
          </w:p>
        </w:tc>
        <w:tc>
          <w:tcPr>
            <w:tcW w:w="4256" w:type="dxa"/>
            <w:shd w:val="clear" w:color="auto" w:fill="auto"/>
            <w:vAlign w:val="center"/>
          </w:tcPr>
          <w:p w14:paraId="73B94FC0" w14:textId="77777777" w:rsidR="0059701B" w:rsidRDefault="0059701B" w:rsidP="001D69EE">
            <w:pPr>
              <w:jc w:val="center"/>
            </w:pPr>
            <w:r>
              <w:t>133</w:t>
            </w:r>
          </w:p>
        </w:tc>
      </w:tr>
      <w:tr w:rsidR="0059701B" w14:paraId="4384208F" w14:textId="77777777" w:rsidTr="00FC77EB">
        <w:trPr>
          <w:trHeight w:val="920"/>
        </w:trPr>
        <w:tc>
          <w:tcPr>
            <w:tcW w:w="4557" w:type="dxa"/>
            <w:shd w:val="clear" w:color="auto" w:fill="auto"/>
            <w:vAlign w:val="center"/>
          </w:tcPr>
          <w:p w14:paraId="45CAA44A" w14:textId="10B4D976" w:rsidR="0059701B" w:rsidRDefault="00844AC3" w:rsidP="001D69EE">
            <w:pPr>
              <w:jc w:val="center"/>
            </w:pPr>
            <w:r>
              <w:t xml:space="preserve">I Pomiar – </w:t>
            </w:r>
            <w:r w:rsidR="0059701B">
              <w:t>Liczba miejsc pracy objętych analizą istniejących co najmniej 30 miesięcy</w:t>
            </w:r>
          </w:p>
        </w:tc>
        <w:tc>
          <w:tcPr>
            <w:tcW w:w="4256" w:type="dxa"/>
            <w:shd w:val="clear" w:color="auto" w:fill="auto"/>
            <w:vAlign w:val="center"/>
          </w:tcPr>
          <w:p w14:paraId="0A0D83C0" w14:textId="77777777" w:rsidR="0059701B" w:rsidRDefault="0059701B" w:rsidP="001D69EE">
            <w:pPr>
              <w:jc w:val="center"/>
            </w:pPr>
            <w:r>
              <w:t>115</w:t>
            </w:r>
          </w:p>
        </w:tc>
      </w:tr>
      <w:tr w:rsidR="0059701B" w14:paraId="3B3928F0" w14:textId="77777777" w:rsidTr="00FC77EB">
        <w:trPr>
          <w:trHeight w:val="920"/>
        </w:trPr>
        <w:tc>
          <w:tcPr>
            <w:tcW w:w="4557" w:type="dxa"/>
            <w:shd w:val="clear" w:color="auto" w:fill="auto"/>
            <w:vAlign w:val="center"/>
          </w:tcPr>
          <w:p w14:paraId="3EE1F68D" w14:textId="05074BE1" w:rsidR="0059701B" w:rsidRDefault="00844AC3" w:rsidP="001D69EE">
            <w:pPr>
              <w:jc w:val="center"/>
            </w:pPr>
            <w:r>
              <w:t xml:space="preserve">I Pomiar – </w:t>
            </w:r>
            <w:r w:rsidR="0059701B">
              <w:t>Odsetek miejsc pracy objętych analizą istniejących co najmniej 30 miesięcy</w:t>
            </w:r>
          </w:p>
        </w:tc>
        <w:tc>
          <w:tcPr>
            <w:tcW w:w="4256" w:type="dxa"/>
            <w:shd w:val="clear" w:color="auto" w:fill="auto"/>
            <w:vAlign w:val="center"/>
          </w:tcPr>
          <w:p w14:paraId="7DBC4893" w14:textId="229408AF" w:rsidR="0059701B" w:rsidRDefault="0059701B" w:rsidP="001D69EE">
            <w:pPr>
              <w:jc w:val="center"/>
            </w:pPr>
            <w:r>
              <w:t>86</w:t>
            </w:r>
            <w:r w:rsidR="00EA4371">
              <w:t>,5</w:t>
            </w:r>
            <w:r>
              <w:t>%</w:t>
            </w:r>
          </w:p>
        </w:tc>
      </w:tr>
      <w:tr w:rsidR="00844AC3" w14:paraId="275DA2D8" w14:textId="77777777" w:rsidTr="00FC77EB">
        <w:trPr>
          <w:trHeight w:val="252"/>
        </w:trPr>
        <w:tc>
          <w:tcPr>
            <w:tcW w:w="4557" w:type="dxa"/>
            <w:shd w:val="clear" w:color="auto" w:fill="auto"/>
            <w:vAlign w:val="center"/>
          </w:tcPr>
          <w:p w14:paraId="18C9E5F3" w14:textId="77777777" w:rsidR="00844AC3" w:rsidRDefault="00844AC3" w:rsidP="00451619">
            <w:pPr>
              <w:jc w:val="center"/>
            </w:pPr>
            <w:r>
              <w:lastRenderedPageBreak/>
              <w:t>II Pomiar – Liczba miejsc pracy objętych analizą w ramach II pomiaru (miejsca pracy powstałe między 1.01.2019 – 31.12.2020)</w:t>
            </w:r>
          </w:p>
        </w:tc>
        <w:tc>
          <w:tcPr>
            <w:tcW w:w="4256" w:type="dxa"/>
            <w:shd w:val="clear" w:color="auto" w:fill="auto"/>
            <w:vAlign w:val="center"/>
          </w:tcPr>
          <w:p w14:paraId="14875892" w14:textId="63A3D761" w:rsidR="00844AC3" w:rsidRDefault="00844AC3" w:rsidP="00844AC3">
            <w:pPr>
              <w:jc w:val="center"/>
            </w:pPr>
            <w:r>
              <w:t>115</w:t>
            </w:r>
          </w:p>
        </w:tc>
      </w:tr>
      <w:tr w:rsidR="00844AC3" w14:paraId="0869769B" w14:textId="77777777" w:rsidTr="00FC77EB">
        <w:trPr>
          <w:trHeight w:val="252"/>
        </w:trPr>
        <w:tc>
          <w:tcPr>
            <w:tcW w:w="4557" w:type="dxa"/>
            <w:shd w:val="clear" w:color="auto" w:fill="auto"/>
            <w:vAlign w:val="center"/>
          </w:tcPr>
          <w:p w14:paraId="4E3D0F16" w14:textId="77777777" w:rsidR="00844AC3" w:rsidRDefault="00844AC3" w:rsidP="00451619">
            <w:pPr>
              <w:jc w:val="center"/>
            </w:pPr>
            <w:r>
              <w:t>II Pomiar – Liczba miejsc pracy objętych analizą istniejących co najmniej 30 miesięcy</w:t>
            </w:r>
          </w:p>
        </w:tc>
        <w:tc>
          <w:tcPr>
            <w:tcW w:w="4256" w:type="dxa"/>
            <w:shd w:val="clear" w:color="auto" w:fill="auto"/>
            <w:vAlign w:val="center"/>
          </w:tcPr>
          <w:p w14:paraId="177897EF" w14:textId="24889816" w:rsidR="00844AC3" w:rsidRDefault="00844AC3" w:rsidP="00451619">
            <w:pPr>
              <w:jc w:val="center"/>
            </w:pPr>
            <w:r>
              <w:t>109</w:t>
            </w:r>
          </w:p>
        </w:tc>
      </w:tr>
      <w:tr w:rsidR="00844AC3" w14:paraId="7CDCAF29" w14:textId="77777777" w:rsidTr="00FC77EB">
        <w:trPr>
          <w:trHeight w:val="252"/>
        </w:trPr>
        <w:tc>
          <w:tcPr>
            <w:tcW w:w="4557" w:type="dxa"/>
            <w:shd w:val="clear" w:color="auto" w:fill="auto"/>
            <w:vAlign w:val="center"/>
          </w:tcPr>
          <w:p w14:paraId="50F7D66C" w14:textId="77777777" w:rsidR="00844AC3" w:rsidRDefault="00844AC3" w:rsidP="00451619">
            <w:pPr>
              <w:jc w:val="center"/>
            </w:pPr>
            <w:r>
              <w:t>II Pomiar – Odsetek miejsc pracy objętych analizą istniejących co najmniej 30 miesięcy</w:t>
            </w:r>
          </w:p>
        </w:tc>
        <w:tc>
          <w:tcPr>
            <w:tcW w:w="4256" w:type="dxa"/>
            <w:shd w:val="clear" w:color="auto" w:fill="auto"/>
            <w:vAlign w:val="center"/>
          </w:tcPr>
          <w:p w14:paraId="4EE9DD54" w14:textId="2CCF0897" w:rsidR="00844AC3" w:rsidRDefault="00844AC3" w:rsidP="00451619">
            <w:pPr>
              <w:jc w:val="center"/>
            </w:pPr>
            <w:r>
              <w:t>9</w:t>
            </w:r>
            <w:r w:rsidR="003F341D">
              <w:t>4,8</w:t>
            </w:r>
            <w:r>
              <w:t>%</w:t>
            </w:r>
          </w:p>
        </w:tc>
      </w:tr>
      <w:tr w:rsidR="0059701B" w14:paraId="598B2C25" w14:textId="77777777" w:rsidTr="001D69EE">
        <w:trPr>
          <w:trHeight w:val="200"/>
        </w:trPr>
        <w:tc>
          <w:tcPr>
            <w:tcW w:w="4557" w:type="dxa"/>
            <w:vAlign w:val="center"/>
          </w:tcPr>
          <w:p w14:paraId="48514791" w14:textId="7FB0D395" w:rsidR="0059701B" w:rsidRDefault="00844AC3" w:rsidP="001D69EE">
            <w:pPr>
              <w:jc w:val="center"/>
            </w:pPr>
            <w:r>
              <w:t xml:space="preserve">Skumulowana wartość wskaźnika </w:t>
            </w:r>
            <w:r w:rsidRPr="006E06B0">
              <w:rPr>
                <w:i/>
                <w:iCs/>
              </w:rPr>
              <w:t>Liczba miejsc pracy istniejących co najmniej 30 miesięcy, utworzonych w przedsiębiorstwach społecznych</w:t>
            </w:r>
          </w:p>
        </w:tc>
        <w:tc>
          <w:tcPr>
            <w:tcW w:w="4256" w:type="dxa"/>
            <w:vAlign w:val="center"/>
          </w:tcPr>
          <w:p w14:paraId="71335685" w14:textId="3924378B" w:rsidR="0059701B" w:rsidRDefault="00D03F95" w:rsidP="001D69EE">
            <w:pPr>
              <w:jc w:val="center"/>
            </w:pPr>
            <w:r>
              <w:t>224 (</w:t>
            </w:r>
            <w:r w:rsidR="00844AC3">
              <w:t>90,3%</w:t>
            </w:r>
            <w:r>
              <w:t>)</w:t>
            </w:r>
          </w:p>
        </w:tc>
      </w:tr>
      <w:tr w:rsidR="002E331D" w14:paraId="74C6E995" w14:textId="77777777" w:rsidTr="001D69EE">
        <w:trPr>
          <w:trHeight w:val="200"/>
        </w:trPr>
        <w:tc>
          <w:tcPr>
            <w:tcW w:w="4557" w:type="dxa"/>
            <w:vAlign w:val="center"/>
          </w:tcPr>
          <w:p w14:paraId="221E7A0E" w14:textId="79E81658" w:rsidR="002E331D" w:rsidRDefault="002E331D" w:rsidP="002E331D">
            <w:pPr>
              <w:jc w:val="center"/>
            </w:pPr>
            <w:r>
              <w:t xml:space="preserve">Ocena możliwości osiągnięcia zakładanej wartości wskaźnika w 2023 roku </w:t>
            </w:r>
          </w:p>
        </w:tc>
        <w:tc>
          <w:tcPr>
            <w:tcW w:w="4256" w:type="dxa"/>
            <w:vAlign w:val="center"/>
          </w:tcPr>
          <w:p w14:paraId="063D327F" w14:textId="57AE228E" w:rsidR="002E331D" w:rsidRDefault="002E331D" w:rsidP="002E331D">
            <w:pPr>
              <w:jc w:val="center"/>
            </w:pPr>
            <w:r>
              <w:t xml:space="preserve">Osiągnięcie założonej wartości docelowej jest bardzo prawdopodobne. </w:t>
            </w:r>
          </w:p>
        </w:tc>
      </w:tr>
    </w:tbl>
    <w:p w14:paraId="4B295CC9" w14:textId="1A5F3476" w:rsidR="0059701B" w:rsidRDefault="0059701B" w:rsidP="0059701B">
      <w:pPr>
        <w:pStyle w:val="Legenda"/>
      </w:pPr>
      <w:r>
        <w:t>Opracowanie własne na podstawie badania CATI/CAWI wśród przedsiębiorstw społecznych przep</w:t>
      </w:r>
      <w:r w:rsidR="00844AC3">
        <w:t>rowadzonego w ramach I i II pomiaru.</w:t>
      </w:r>
    </w:p>
    <w:p w14:paraId="0A5B44F8" w14:textId="11A82586" w:rsidR="0059701B" w:rsidRDefault="0059701B" w:rsidP="0059701B">
      <w:r>
        <w:t>Wartości wskaźnika wyliczone w ramach I pomiaru realizowanego w 2021 roku różnią się w zależności od tego, który z istniejących w regionie OWES-ów odpowiedzialny był za dystrybucję środków na rzecz tworzenia miejsc pracy w przedsiębiorstwach społecznych na terenie województwa łódzkiego. Miejsca pracy stworzone dzięki interwencji wdrażanej przez OWES „</w:t>
      </w:r>
      <w:r w:rsidRPr="00857A73">
        <w:t>Centrum Promocji i Rozwoju Inicjatyw Obywatelskich OPUS</w:t>
      </w:r>
      <w:r>
        <w:t xml:space="preserve">” charakteryzują się wyższą wartością wskaźnika dotyczącego liczby miejsc pracy, które istniały co najmniej 30 miesięcy, niż w przypadku pozostałych ośrodków. </w:t>
      </w:r>
      <w:r w:rsidR="007901C4">
        <w:t xml:space="preserve">W wyniku II pomiaru - wartość wskaźnika w podziale na OWES również jest zróżnicowana, jednak tym razem w dwóch z trzech badanych subregionów wskaźnik osiągnął najwyższe wartości.  </w:t>
      </w:r>
    </w:p>
    <w:p w14:paraId="42072D50" w14:textId="19E0DC95" w:rsidR="00844AC3" w:rsidRDefault="0059701B" w:rsidP="0059701B">
      <w:pPr>
        <w:pStyle w:val="Legenda"/>
      </w:pPr>
      <w:r>
        <w:rPr>
          <w:noProof/>
          <w:lang w:eastAsia="pl-PL"/>
        </w:rPr>
        <w:drawing>
          <wp:inline distT="0" distB="0" distL="0" distR="0" wp14:anchorId="02AAAD27" wp14:editId="761ACD86">
            <wp:extent cx="5581015" cy="2790701"/>
            <wp:effectExtent l="0" t="0" r="635" b="0"/>
            <wp:docPr id="54" name="Wykres 54" descr="Wykres przedstawia Wartość wskaźnika Liczba miejsc pracy istniejących co najmniej 30 miesięcy, utworzonych w przedsiębiorstwach społecznych w podziale na OWES – łódzkie:&#10;Centrum Promocji i Rozwoju Inicjatyw Obywatelskich OPUS 100%&#10;Łódzki Ośrodek Wsparcia Ekonomii Społecznej Stowarzyszenia Wsparcie Społeczne &quot;Ja-Ty-My&quot; 80%&#10;OWES Centrum KLUCZ 85%">
              <a:extLst xmlns:a="http://schemas.openxmlformats.org/drawingml/2006/main">
                <a:ext uri="{FF2B5EF4-FFF2-40B4-BE49-F238E27FC236}">
                  <a16:creationId xmlns:a16="http://schemas.microsoft.com/office/drawing/2014/main" id="{D7055908-E6A6-482C-BD90-8023909498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43EAC">
        <w:t xml:space="preserve"> </w:t>
      </w:r>
      <w:r w:rsidR="00844AC3">
        <w:t>Opracowanie własne na podstawie badania CATI/CAWI wśród przedsiębiorstw społecznych przeprowadzonego w ramach I pomiaru. N=42</w:t>
      </w:r>
    </w:p>
    <w:p w14:paraId="228E3857" w14:textId="098CF46E" w:rsidR="0059701B" w:rsidRDefault="00844AC3" w:rsidP="0059701B">
      <w:pPr>
        <w:pStyle w:val="Legenda"/>
      </w:pPr>
      <w:r>
        <w:rPr>
          <w:noProof/>
          <w:lang w:eastAsia="pl-PL"/>
        </w:rPr>
        <w:lastRenderedPageBreak/>
        <w:drawing>
          <wp:inline distT="0" distB="0" distL="0" distR="0" wp14:anchorId="7C34D0C8" wp14:editId="1AA4197D">
            <wp:extent cx="5467350" cy="2847975"/>
            <wp:effectExtent l="0" t="0" r="0" b="0"/>
            <wp:docPr id="8" name="Wykres 8"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F0185421-C7BF-0647-8683-0562C39D2C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t xml:space="preserve"> </w:t>
      </w:r>
      <w:r w:rsidR="0059701B">
        <w:t xml:space="preserve">Opracowanie własne na podstawie badania CATI/CAWI wśród przedsiębiorstw społecznych przeprowadzonego w ramach </w:t>
      </w:r>
      <w:r>
        <w:t>I</w:t>
      </w:r>
      <w:r w:rsidR="0059701B">
        <w:t xml:space="preserve">I pomiaru. </w:t>
      </w:r>
      <w:r>
        <w:t>N=21</w:t>
      </w:r>
    </w:p>
    <w:p w14:paraId="4A6A4515" w14:textId="46DAA55B" w:rsidR="00844AC3" w:rsidRDefault="0059701B" w:rsidP="007901C4">
      <w:r>
        <w:t>Miejsca pracy, które powstały dzięki wsparciu z RPO Województwa Łódzkiego na lata 2014-2020 charakteryzują się bardzo dużą przeżywalnością jeśli chodzi o okres objęty analizą (30 miesięcy). Analiza likwidowanych miejsc pracy</w:t>
      </w:r>
      <w:r w:rsidR="007901C4">
        <w:t xml:space="preserve"> w II pomiarze</w:t>
      </w:r>
      <w:r>
        <w:t xml:space="preserve"> pozwoliła </w:t>
      </w:r>
      <w:r w:rsidR="007901C4">
        <w:t>zauważyć</w:t>
      </w:r>
      <w:r>
        <w:t xml:space="preserve">, że jeśli miejsca pracy były likwidowane, to dopiero </w:t>
      </w:r>
      <w:r w:rsidR="007901C4">
        <w:t>po 12 miesiącach od ich utworzenia. Likwidacje miał</w:t>
      </w:r>
      <w:r w:rsidR="00D546AE">
        <w:t>y miejsce od 12 do 30 miesiąca istnienia stanowiska pracy.</w:t>
      </w:r>
    </w:p>
    <w:p w14:paraId="0454DC46" w14:textId="0F47FA26" w:rsidR="00844AC3" w:rsidRDefault="00844AC3" w:rsidP="00844AC3">
      <w:pPr>
        <w:pStyle w:val="Legenda"/>
      </w:pPr>
      <w:r>
        <w:rPr>
          <w:noProof/>
          <w:lang w:eastAsia="pl-PL"/>
        </w:rPr>
        <w:drawing>
          <wp:inline distT="0" distB="0" distL="0" distR="0" wp14:anchorId="57543183" wp14:editId="262E2D0E">
            <wp:extent cx="5591175" cy="2638425"/>
            <wp:effectExtent l="0" t="0" r="0" b="0"/>
            <wp:docPr id="9" name="Wykres 9" descr="Wykres prezentujący jak długo istniały stanowiska pracy, które zostały zlikwidowane.">
              <a:extLst xmlns:a="http://schemas.openxmlformats.org/drawingml/2006/main">
                <a:ext uri="{FF2B5EF4-FFF2-40B4-BE49-F238E27FC236}">
                  <a16:creationId xmlns:a16="http://schemas.microsoft.com/office/drawing/2014/main" id="{899DE921-F2AB-4063-964A-CEEBCF3FD8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59701B">
        <w:t xml:space="preserve">Opracowanie własne na podstawie badania CATI/CAWI wśród przedsiębiorstw społecznych przeprowadzonego w ramach </w:t>
      </w:r>
      <w:r>
        <w:t>II pomiaru. N=21</w:t>
      </w:r>
    </w:p>
    <w:p w14:paraId="3EB06E9C" w14:textId="55E31977" w:rsidR="00E45FDE" w:rsidRPr="00D546AE" w:rsidRDefault="00E45FDE" w:rsidP="00844AC3">
      <w:pPr>
        <w:pStyle w:val="Legenda"/>
        <w:rPr>
          <w:bCs/>
          <w:i w:val="0"/>
          <w:color w:val="auto"/>
          <w:sz w:val="24"/>
        </w:rPr>
      </w:pPr>
      <w:r w:rsidRPr="00D546AE">
        <w:rPr>
          <w:bCs/>
          <w:i w:val="0"/>
          <w:color w:val="auto"/>
          <w:sz w:val="24"/>
        </w:rPr>
        <w:t xml:space="preserve">Charakterystyka wsparcia </w:t>
      </w:r>
    </w:p>
    <w:p w14:paraId="42549B2E" w14:textId="1970A852" w:rsidR="00097E3C" w:rsidRDefault="00E45FDE" w:rsidP="00E45FDE">
      <w:r w:rsidRPr="00097E3C">
        <w:t xml:space="preserve">W województwie </w:t>
      </w:r>
      <w:r w:rsidR="002E331D">
        <w:t>łódzkim</w:t>
      </w:r>
      <w:r w:rsidRPr="00097E3C">
        <w:t xml:space="preserve"> wspierane przedsiębiorstwa społeczne działają najczęście</w:t>
      </w:r>
      <w:r w:rsidR="00097E3C">
        <w:t>j w branży kultura i edukacja (</w:t>
      </w:r>
      <w:r w:rsidR="00D546AE">
        <w:t>52</w:t>
      </w:r>
      <w:r w:rsidRPr="00097E3C">
        <w:t>%)</w:t>
      </w:r>
      <w:r w:rsidR="00D546AE">
        <w:t xml:space="preserve"> oraz gastronomia (43%)</w:t>
      </w:r>
      <w:r w:rsidRPr="00097E3C">
        <w:t xml:space="preserve">. W grupie podmiotów, które zostały </w:t>
      </w:r>
      <w:r w:rsidRPr="00097E3C">
        <w:lastRenderedPageBreak/>
        <w:t xml:space="preserve">objęte analizą istnieje zróżnicowanie jeśli chodzi o obszary działalności przedsiębiorstw społecznych wspartych w ramach interwencji. </w:t>
      </w:r>
      <w:r w:rsidR="00D546AE">
        <w:t>Również często</w:t>
      </w:r>
      <w:r w:rsidRPr="00097E3C">
        <w:t xml:space="preserve"> wspierane były podmioty z branż</w:t>
      </w:r>
      <w:r w:rsidR="00D546AE">
        <w:t>y usług socjalnych (33</w:t>
      </w:r>
      <w:r w:rsidR="00097E3C">
        <w:t>%)</w:t>
      </w:r>
      <w:r w:rsidR="00D546AE">
        <w:t xml:space="preserve">. </w:t>
      </w:r>
    </w:p>
    <w:p w14:paraId="75790224" w14:textId="6A068AD7" w:rsidR="00844AC3" w:rsidRPr="00E71F3E" w:rsidRDefault="00844AC3" w:rsidP="00E45FDE">
      <w:r>
        <w:rPr>
          <w:noProof/>
          <w:lang w:eastAsia="pl-PL"/>
        </w:rPr>
        <w:drawing>
          <wp:inline distT="0" distB="0" distL="0" distR="0" wp14:anchorId="1809530B" wp14:editId="00561A80">
            <wp:extent cx="5760720" cy="3212465"/>
            <wp:effectExtent l="0" t="0" r="0" b="6985"/>
            <wp:docPr id="11" name="Wykres 11" descr="Wykres prezentujący obszary działalności przedsiębiorstw społecznych.">
              <a:extLst xmlns:a="http://schemas.openxmlformats.org/drawingml/2006/main">
                <a:ext uri="{FF2B5EF4-FFF2-40B4-BE49-F238E27FC236}">
                  <a16:creationId xmlns:a16="http://schemas.microsoft.com/office/drawing/2014/main" id="{6BE38905-B75A-484F-9FED-8740EB1D30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198E269" w14:textId="77777777" w:rsidR="00844AC3" w:rsidRDefault="00E45FDE" w:rsidP="00844AC3">
      <w:pPr>
        <w:pStyle w:val="Legenda"/>
      </w:pPr>
      <w:r w:rsidRPr="00887578">
        <w:t xml:space="preserve"> </w:t>
      </w:r>
      <w:r>
        <w:t xml:space="preserve">Opracowanie własne na podstawie badania CATI/CAWI wśród przedsiębiorstw społecznych przeprowadzonego w ramach </w:t>
      </w:r>
      <w:r w:rsidR="00844AC3">
        <w:t>II pomiaru. N=21</w:t>
      </w:r>
    </w:p>
    <w:p w14:paraId="08EDB0D9" w14:textId="3081C3BD" w:rsidR="00E45FDE" w:rsidRDefault="00E45FDE" w:rsidP="00E45FDE">
      <w:r w:rsidRPr="00841AFC">
        <w:t>Charakterystyka osób, które zostały zatrudnione na utworzonych w przedsiębiorstwach społecznych miejscach pracy,</w:t>
      </w:r>
      <w:r w:rsidR="00841AFC">
        <w:t xml:space="preserve"> wykazuje nadreprezentację </w:t>
      </w:r>
      <w:r w:rsidR="00113B81">
        <w:t>kobiet (</w:t>
      </w:r>
      <w:r w:rsidR="00D546AE">
        <w:t>70</w:t>
      </w:r>
      <w:r w:rsidRPr="00841AFC">
        <w:t>%). Ponadto, analizując strukturę wieku osób zatrudnianych zauważyć można, że najwięcej osó</w:t>
      </w:r>
      <w:r w:rsidR="008F440D">
        <w:t xml:space="preserve">b zatrudniono w wieku </w:t>
      </w:r>
      <w:r w:rsidR="00D546AE">
        <w:t>46</w:t>
      </w:r>
      <w:r w:rsidR="00113B81">
        <w:t>-</w:t>
      </w:r>
      <w:r w:rsidR="00D546AE">
        <w:t>5</w:t>
      </w:r>
      <w:r w:rsidR="00113B81">
        <w:t>5 lat (3</w:t>
      </w:r>
      <w:r w:rsidR="00D546AE">
        <w:t>2</w:t>
      </w:r>
      <w:r w:rsidR="00113B81">
        <w:t xml:space="preserve">%). </w:t>
      </w:r>
      <w:r w:rsidRPr="00841AFC">
        <w:t xml:space="preserve">Warto zauważyć także niewielki odsetek </w:t>
      </w:r>
      <w:r w:rsidR="008F440D">
        <w:t>osób młodych do 25 roku życia (</w:t>
      </w:r>
      <w:r w:rsidR="00D546AE">
        <w:t>2</w:t>
      </w:r>
      <w:r w:rsidR="00113B81">
        <w:t xml:space="preserve">%) oraz osób w wieku powyżej </w:t>
      </w:r>
      <w:r w:rsidR="00D546AE">
        <w:t>6</w:t>
      </w:r>
      <w:r w:rsidR="00113B81">
        <w:t>5</w:t>
      </w:r>
      <w:r w:rsidRPr="00841AFC">
        <w:t xml:space="preserve"> roku życia (</w:t>
      </w:r>
      <w:r w:rsidR="00D546AE">
        <w:t>2</w:t>
      </w:r>
      <w:r w:rsidRPr="00841AFC">
        <w:t xml:space="preserve">%). Osoby zatrudniane na tworzonych miejscach pracy </w:t>
      </w:r>
      <w:r w:rsidR="00D546AE">
        <w:t>rzadko</w:t>
      </w:r>
      <w:r w:rsidRPr="00841AFC">
        <w:t xml:space="preserve"> były osobami pracującymi</w:t>
      </w:r>
      <w:r w:rsidR="00D546AE">
        <w:t xml:space="preserve"> (3%)</w:t>
      </w:r>
      <w:r w:rsidRPr="00841AFC">
        <w:t xml:space="preserve">.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2E331D">
        <w:t>łódzkim</w:t>
      </w:r>
      <w:r w:rsidRPr="00841AFC">
        <w:t xml:space="preserve"> osoby z n</w:t>
      </w:r>
      <w:r w:rsidR="00113B81">
        <w:t>iepełnosprawnościami stanowiły 4</w:t>
      </w:r>
      <w:r w:rsidR="00D546AE">
        <w:t>4</w:t>
      </w:r>
      <w:r w:rsidRPr="00841AFC">
        <w:t xml:space="preserve">% wszystkich pracowników zajmujących stanowiska utworzone w ten sposób. Ponadto, w strukturze osób zatrudnionych na utworzonych miejscach pracy dominują osoby z wykształceniem </w:t>
      </w:r>
      <w:r w:rsidR="007C32E2">
        <w:t>średnim ogólnokształcącym (</w:t>
      </w:r>
      <w:r w:rsidR="00D546AE">
        <w:t>50</w:t>
      </w:r>
      <w:r w:rsidRPr="00841AFC">
        <w:t>%)</w:t>
      </w:r>
      <w:r w:rsidR="00D546AE">
        <w:t>.</w:t>
      </w:r>
    </w:p>
    <w:p w14:paraId="7FB99914" w14:textId="12A3FCA5" w:rsidR="00113B81" w:rsidRDefault="00844AC3" w:rsidP="00E45FDE">
      <w:r w:rsidRPr="00844AC3">
        <w:rPr>
          <w:noProof/>
          <w:lang w:eastAsia="pl-PL"/>
        </w:rPr>
        <w:lastRenderedPageBreak/>
        <w:t xml:space="preserve"> </w:t>
      </w:r>
      <w:r>
        <w:rPr>
          <w:noProof/>
          <w:lang w:eastAsia="pl-PL"/>
        </w:rPr>
        <w:drawing>
          <wp:inline distT="0" distB="0" distL="0" distR="0" wp14:anchorId="25E98F85" wp14:editId="38BB4B31">
            <wp:extent cx="2695575" cy="2623820"/>
            <wp:effectExtent l="0" t="0" r="0" b="5080"/>
            <wp:docPr id="12" name="Wykres 12" descr="Wykres prezentujący jakiej płci byli pracownicy zajmujący utworzone stanowiska.">
              <a:extLst xmlns:a="http://schemas.openxmlformats.org/drawingml/2006/main">
                <a:ext uri="{FF2B5EF4-FFF2-40B4-BE49-F238E27FC236}">
                  <a16:creationId xmlns:a16="http://schemas.microsoft.com/office/drawing/2014/main" id="{9C0AD23B-B323-4705-BA9C-DFE1196822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844AC3">
        <w:rPr>
          <w:noProof/>
          <w:lang w:eastAsia="pl-PL"/>
        </w:rPr>
        <w:t xml:space="preserve"> </w:t>
      </w:r>
      <w:r>
        <w:rPr>
          <w:noProof/>
          <w:lang w:eastAsia="pl-PL"/>
        </w:rPr>
        <w:drawing>
          <wp:inline distT="0" distB="0" distL="0" distR="0" wp14:anchorId="3BB34CEA" wp14:editId="4224FA26">
            <wp:extent cx="2771775" cy="2543175"/>
            <wp:effectExtent l="0" t="0" r="0" b="0"/>
            <wp:docPr id="13" name="Wykres 13" descr="Wykres prezentujący w jakim wieku byli pracownicy zajmujący utworzone stanowiska.">
              <a:extLst xmlns:a="http://schemas.openxmlformats.org/drawingml/2006/main">
                <a:ext uri="{FF2B5EF4-FFF2-40B4-BE49-F238E27FC236}">
                  <a16:creationId xmlns:a16="http://schemas.microsoft.com/office/drawing/2014/main" id="{E0C3BAE7-8EAD-41AD-9DF3-B556F54419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F921141" w14:textId="77777777" w:rsidR="00D546AE" w:rsidRDefault="00844AC3" w:rsidP="00E45FDE">
      <w:pPr>
        <w:rPr>
          <w:noProof/>
          <w:lang w:eastAsia="pl-PL"/>
        </w:rPr>
      </w:pPr>
      <w:r w:rsidRPr="00844AC3">
        <w:rPr>
          <w:noProof/>
          <w:lang w:eastAsia="pl-PL"/>
        </w:rPr>
        <w:t xml:space="preserve"> </w:t>
      </w:r>
      <w:r>
        <w:rPr>
          <w:noProof/>
          <w:lang w:eastAsia="pl-PL"/>
        </w:rPr>
        <w:drawing>
          <wp:inline distT="0" distB="0" distL="0" distR="0" wp14:anchorId="03622A4D" wp14:editId="53920CC1">
            <wp:extent cx="2647950" cy="2581275"/>
            <wp:effectExtent l="0" t="0" r="0" b="0"/>
            <wp:docPr id="14" name="Wykres 14" descr="Wykres prezentujący jaki status na rynku, posiadali pracownicy zajmujący utworzone stanowiska.">
              <a:extLst xmlns:a="http://schemas.openxmlformats.org/drawingml/2006/main">
                <a:ext uri="{FF2B5EF4-FFF2-40B4-BE49-F238E27FC236}">
                  <a16:creationId xmlns:a16="http://schemas.microsoft.com/office/drawing/2014/main" id="{5BB7F879-1703-4924-B43B-7292544B29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844AC3">
        <w:rPr>
          <w:noProof/>
          <w:lang w:eastAsia="pl-PL"/>
        </w:rPr>
        <w:t xml:space="preserve"> </w:t>
      </w:r>
      <w:r>
        <w:rPr>
          <w:noProof/>
          <w:lang w:eastAsia="pl-PL"/>
        </w:rPr>
        <w:drawing>
          <wp:inline distT="0" distB="0" distL="0" distR="0" wp14:anchorId="3AB8FEB0" wp14:editId="146B09FF">
            <wp:extent cx="2647950" cy="2505075"/>
            <wp:effectExtent l="0" t="0" r="0" b="0"/>
            <wp:docPr id="15" name="Wykres 15"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333E64BB-CE45-4F75-A28C-27FD7F897E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7901C4" w:rsidRPr="007901C4">
        <w:rPr>
          <w:noProof/>
          <w:lang w:eastAsia="pl-PL"/>
        </w:rPr>
        <w:t xml:space="preserve"> </w:t>
      </w:r>
    </w:p>
    <w:p w14:paraId="3DA67E57" w14:textId="01ACD8FD" w:rsidR="00E45FDE" w:rsidRDefault="007901C4" w:rsidP="00E45FDE">
      <w:r>
        <w:rPr>
          <w:noProof/>
          <w:lang w:eastAsia="pl-PL"/>
        </w:rPr>
        <w:drawing>
          <wp:inline distT="0" distB="0" distL="0" distR="0" wp14:anchorId="149B0CEC" wp14:editId="0050B523">
            <wp:extent cx="5362575" cy="2324100"/>
            <wp:effectExtent l="0" t="0" r="0" b="0"/>
            <wp:docPr id="16" name="Wykres 16" descr="Wykres prezentujący jakie wykształcenie posiadali pracownicy zajmujący utworzone stanowiska.">
              <a:extLst xmlns:a="http://schemas.openxmlformats.org/drawingml/2006/main">
                <a:ext uri="{FF2B5EF4-FFF2-40B4-BE49-F238E27FC236}">
                  <a16:creationId xmlns:a16="http://schemas.microsoft.com/office/drawing/2014/main" id="{31E39763-91C9-43A2-ABC0-A9670DC60A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C5971B8" w14:textId="2E6C66A7" w:rsidR="007901C4" w:rsidRPr="007901C4" w:rsidRDefault="002753F2" w:rsidP="007901C4">
      <w:pPr>
        <w:pStyle w:val="Legenda"/>
      </w:pPr>
      <w:r>
        <w:t xml:space="preserve">Opracowanie własne na podstawie badania CATI/CAWI wśród przedsiębiorstw społecznych przeprowadzonego w ramach </w:t>
      </w:r>
      <w:r w:rsidR="00844AC3">
        <w:t>II pomiaru. N=21</w:t>
      </w:r>
    </w:p>
    <w:p w14:paraId="0FAAE119" w14:textId="0ABB80FE" w:rsidR="007901C4" w:rsidRDefault="00E45FDE" w:rsidP="00621E24">
      <w:r w:rsidRPr="0061011B">
        <w:lastRenderedPageBreak/>
        <w:t xml:space="preserve">Analizując strukturę demograficzną osób zatrudnionych na utworzonych miejscach pracy zauważyć można relatywnie duże zróżnicowanie. W przypadku interwencji realizowanej w ramach RPO Województwa </w:t>
      </w:r>
      <w:r w:rsidR="002753F2">
        <w:t>Łódzkiego</w:t>
      </w:r>
      <w:r w:rsidRPr="0061011B">
        <w:t xml:space="preserve"> można zauważyć, że najczęściej występującym problemem, który utrudniał znalezienie pracy osobom, które zostały zatrudnione na powstałych w ramach interwencji miejscach pracy było długot</w:t>
      </w:r>
      <w:r w:rsidR="00621E24">
        <w:t>rwałe bezrobocie (71</w:t>
      </w:r>
      <w:r w:rsidRPr="0061011B">
        <w:t xml:space="preserve">%) lub stan zdrowia </w:t>
      </w:r>
      <w:r w:rsidR="0061011B">
        <w:t>fiz</w:t>
      </w:r>
      <w:r w:rsidR="00621E24">
        <w:t>ycznego (3</w:t>
      </w:r>
      <w:r w:rsidR="0008088A">
        <w:t>8</w:t>
      </w:r>
      <w:r w:rsidRPr="0061011B">
        <w:t xml:space="preserve">%). Zauważyć zatem można, że wsparcie zostało </w:t>
      </w:r>
      <w:r w:rsidR="00621E24">
        <w:t xml:space="preserve">wystosowane </w:t>
      </w:r>
      <w:r w:rsidRPr="0061011B">
        <w:t xml:space="preserve">do osób, które przede wszystkim samodzielnie miały problem ze znalezieniem zatrudnienia. Inne problemy, które stanowią bariery na rynku pracy występowały </w:t>
      </w:r>
      <w:r w:rsidR="00621E24">
        <w:t>rzadziej</w:t>
      </w:r>
      <w:r w:rsidRPr="0061011B">
        <w:t>. Interwencja w postaci wsparcia na rzecz tworzenia nowych miejsc pracy w przedsiębiorstwach społecznych stanowi zatem istotne narzędzie aktywizacji zawodowej.</w:t>
      </w:r>
      <w:r>
        <w:t xml:space="preserve"> </w:t>
      </w:r>
    </w:p>
    <w:p w14:paraId="70B5B542" w14:textId="77723658" w:rsidR="00844AC3" w:rsidRDefault="007901C4" w:rsidP="00844AC3">
      <w:pPr>
        <w:pStyle w:val="Legenda"/>
      </w:pPr>
      <w:r>
        <w:rPr>
          <w:noProof/>
          <w:lang w:eastAsia="pl-PL"/>
        </w:rPr>
        <w:drawing>
          <wp:inline distT="0" distB="0" distL="0" distR="0" wp14:anchorId="739BD86F" wp14:editId="5B436B55">
            <wp:extent cx="5886450" cy="2990850"/>
            <wp:effectExtent l="0" t="0" r="0" b="0"/>
            <wp:docPr id="17" name="Wykres 17"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DE863EA5-0DCA-40C1-9358-F5EA8ED81E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2753F2">
        <w:t xml:space="preserve">Opracowanie własne na podstawie badania CATI/CAWI wśród przedsiębiorstw społecznych przeprowadzonego w ramach </w:t>
      </w:r>
      <w:r w:rsidR="00844AC3">
        <w:t>II pomiaru. N=21</w:t>
      </w:r>
    </w:p>
    <w:p w14:paraId="300AB940" w14:textId="2671A438" w:rsidR="00844AC3" w:rsidRPr="00844AC3" w:rsidRDefault="00844AC3" w:rsidP="00844AC3">
      <w:pPr>
        <w:pStyle w:val="Legenda"/>
      </w:pPr>
    </w:p>
    <w:p w14:paraId="438A71A2" w14:textId="77777777" w:rsidR="002E331D" w:rsidRDefault="002E331D" w:rsidP="002E331D">
      <w:pPr>
        <w:pStyle w:val="Nagwek2"/>
        <w:rPr>
          <w:b/>
          <w:bCs/>
          <w:color w:val="auto"/>
        </w:rPr>
      </w:pPr>
      <w:bookmarkStart w:id="1" w:name="_Hlk93924604"/>
      <w:r w:rsidRPr="003E065D">
        <w:rPr>
          <w:b/>
          <w:bCs/>
          <w:color w:val="auto"/>
        </w:rPr>
        <w:t xml:space="preserve">Wnioski </w:t>
      </w:r>
    </w:p>
    <w:p w14:paraId="02B2787A" w14:textId="77777777" w:rsidR="00621E24" w:rsidRDefault="002E331D" w:rsidP="002E331D">
      <w:r>
        <w:t xml:space="preserve">W przypadku RPO Województwa Łódzkiego na lata 2014-2020 </w:t>
      </w:r>
      <w:r w:rsidR="00621E24">
        <w:t xml:space="preserve">W przypadku RPO Lubuskie 2020 osiągnięto zakładaną wartość wskaźnika rezultatu długoterminowego. Nie zidentyfikowano ryzyka, że wartość wskaźnika byłaby znacząco niższa gdyby pomiarem objąć miejsca pracy utworzone po 2020 roku, dla których nie zakończył się jeszcze okres trwałości. </w:t>
      </w:r>
    </w:p>
    <w:p w14:paraId="31363E2D" w14:textId="46CA6281" w:rsidR="002E331D" w:rsidRDefault="00621E24" w:rsidP="002E331D">
      <w:r>
        <w:t xml:space="preserve">W ramach przeprowadzonych pomiarów </w:t>
      </w:r>
      <w:r w:rsidR="002E331D">
        <w:t xml:space="preserve">zidentyfikowano przeżywalność miejsc pracy na poziomie </w:t>
      </w:r>
      <w:r>
        <w:t>90,3</w:t>
      </w:r>
      <w:r w:rsidR="002E331D">
        <w:t xml:space="preserve">%. W stosunku do zakładanych 44% jest to wartość znacznie większa, co wskazuje na to, że podejmowane </w:t>
      </w:r>
      <w:r>
        <w:t>działania skutecznie przyczyniły</w:t>
      </w:r>
      <w:r w:rsidR="002E331D">
        <w:t xml:space="preserve"> się do tworzenia trwałych miejsc pracy w przedsiębiorstwach społecznych. Charakterystyka udzielonego wsparcia wskazuje na zróżnicowaną strukturę branżową wspartych przedsiębiorstw społecznych oraz zróżnicowaną strukturę demograficzną osób, które zostały zatrudnione na utworzonych </w:t>
      </w:r>
      <w:r w:rsidR="002E331D">
        <w:lastRenderedPageBreak/>
        <w:t xml:space="preserve">stanowiskach. Wsparcie w zakresie tworzenia miejsc pracy w przypadku województwa łódzkiego stanowiło przede wszystkim narzędzie aktywizacji zawodowej – najczęściej występującym problemem, który stanowił barierę dla osób zatrudnianych na utworzonych miejscach pracy było długotrwałe bezrobocie. </w:t>
      </w:r>
    </w:p>
    <w:bookmarkEnd w:id="1"/>
    <w:p w14:paraId="0882016B" w14:textId="77777777" w:rsidR="002E331D" w:rsidRDefault="002E331D"/>
    <w:sectPr w:rsidR="002E331D">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AAE2F" w14:textId="77777777" w:rsidR="00CE29E9" w:rsidRDefault="00CE29E9" w:rsidP="002753F2">
      <w:pPr>
        <w:spacing w:after="0" w:line="240" w:lineRule="auto"/>
      </w:pPr>
      <w:r>
        <w:separator/>
      </w:r>
    </w:p>
  </w:endnote>
  <w:endnote w:type="continuationSeparator" w:id="0">
    <w:p w14:paraId="3F034529" w14:textId="77777777" w:rsidR="00CE29E9" w:rsidRDefault="00CE29E9" w:rsidP="00275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4061551"/>
      <w:docPartObj>
        <w:docPartGallery w:val="Page Numbers (Bottom of Page)"/>
        <w:docPartUnique/>
      </w:docPartObj>
    </w:sdtPr>
    <w:sdtEndPr/>
    <w:sdtContent>
      <w:p w14:paraId="5F8F4550" w14:textId="6D3905A3" w:rsidR="002753F2" w:rsidRDefault="002753F2">
        <w:pPr>
          <w:pStyle w:val="Stopka"/>
          <w:jc w:val="center"/>
        </w:pPr>
        <w:r>
          <w:fldChar w:fldCharType="begin"/>
        </w:r>
        <w:r>
          <w:instrText>PAGE   \* MERGEFORMAT</w:instrText>
        </w:r>
        <w:r>
          <w:fldChar w:fldCharType="separate"/>
        </w:r>
        <w:r w:rsidR="00621E24">
          <w:rPr>
            <w:noProof/>
          </w:rPr>
          <w:t>7</w:t>
        </w:r>
        <w:r>
          <w:fldChar w:fldCharType="end"/>
        </w:r>
      </w:p>
    </w:sdtContent>
  </w:sdt>
  <w:p w14:paraId="241FE4FB" w14:textId="77777777" w:rsidR="002753F2" w:rsidRDefault="002753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CFC9A" w14:textId="77777777" w:rsidR="00CE29E9" w:rsidRDefault="00CE29E9" w:rsidP="002753F2">
      <w:pPr>
        <w:spacing w:after="0" w:line="240" w:lineRule="auto"/>
      </w:pPr>
      <w:r>
        <w:separator/>
      </w:r>
    </w:p>
  </w:footnote>
  <w:footnote w:type="continuationSeparator" w:id="0">
    <w:p w14:paraId="2ED1885A" w14:textId="77777777" w:rsidR="00CE29E9" w:rsidRDefault="00CE29E9" w:rsidP="002753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6954" w14:textId="696BBADC" w:rsidR="00805F23" w:rsidRDefault="00FC77EB">
    <w:pPr>
      <w:pStyle w:val="Nagwek"/>
    </w:pPr>
    <w:r>
      <w:rPr>
        <w:noProof/>
      </w:rPr>
      <w:drawing>
        <wp:inline distT="0" distB="0" distL="0" distR="0" wp14:anchorId="64EC69C1" wp14:editId="68B68035">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66013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01B"/>
    <w:rsid w:val="00034576"/>
    <w:rsid w:val="00051BE0"/>
    <w:rsid w:val="0008088A"/>
    <w:rsid w:val="00097E3C"/>
    <w:rsid w:val="00113B81"/>
    <w:rsid w:val="001C42E7"/>
    <w:rsid w:val="002753F2"/>
    <w:rsid w:val="002E331D"/>
    <w:rsid w:val="003F341D"/>
    <w:rsid w:val="003F7B89"/>
    <w:rsid w:val="004931F7"/>
    <w:rsid w:val="005017F8"/>
    <w:rsid w:val="0052001A"/>
    <w:rsid w:val="0059701B"/>
    <w:rsid w:val="005A3072"/>
    <w:rsid w:val="005B6367"/>
    <w:rsid w:val="0061011B"/>
    <w:rsid w:val="00621E24"/>
    <w:rsid w:val="00640CBB"/>
    <w:rsid w:val="00670031"/>
    <w:rsid w:val="006817CE"/>
    <w:rsid w:val="007901C4"/>
    <w:rsid w:val="00792279"/>
    <w:rsid w:val="007C32E2"/>
    <w:rsid w:val="00805F23"/>
    <w:rsid w:val="00841AFC"/>
    <w:rsid w:val="00844AC3"/>
    <w:rsid w:val="00861812"/>
    <w:rsid w:val="008B3688"/>
    <w:rsid w:val="008F11F2"/>
    <w:rsid w:val="008F440D"/>
    <w:rsid w:val="00974DD8"/>
    <w:rsid w:val="00AE6091"/>
    <w:rsid w:val="00B0729D"/>
    <w:rsid w:val="00B66C40"/>
    <w:rsid w:val="00C22714"/>
    <w:rsid w:val="00C25831"/>
    <w:rsid w:val="00CB1680"/>
    <w:rsid w:val="00CE29E9"/>
    <w:rsid w:val="00D03F95"/>
    <w:rsid w:val="00D546AE"/>
    <w:rsid w:val="00E17C7D"/>
    <w:rsid w:val="00E45FDE"/>
    <w:rsid w:val="00E54368"/>
    <w:rsid w:val="00E7273F"/>
    <w:rsid w:val="00EA4371"/>
    <w:rsid w:val="00EE213C"/>
    <w:rsid w:val="00FA6BC6"/>
    <w:rsid w:val="00FC77EB"/>
    <w:rsid w:val="00FF3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67A14"/>
  <w15:chartTrackingRefBased/>
  <w15:docId w15:val="{E641357B-0F4B-43BA-A6ED-73E1E1492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701B"/>
    <w:pPr>
      <w:spacing w:line="276" w:lineRule="auto"/>
    </w:pPr>
    <w:rPr>
      <w:rFonts w:eastAsiaTheme="minorEastAsia"/>
      <w:sz w:val="24"/>
    </w:rPr>
  </w:style>
  <w:style w:type="paragraph" w:styleId="Nagwek1">
    <w:name w:val="heading 1"/>
    <w:basedOn w:val="Normalny"/>
    <w:next w:val="Normalny"/>
    <w:link w:val="Nagwek1Znak"/>
    <w:uiPriority w:val="9"/>
    <w:qFormat/>
    <w:rsid w:val="0059701B"/>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semiHidden/>
    <w:unhideWhenUsed/>
    <w:qFormat/>
    <w:rsid w:val="00E45F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9701B"/>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9701B"/>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59701B"/>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59701B"/>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5970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E45FDE"/>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8F440D"/>
    <w:rPr>
      <w:sz w:val="16"/>
      <w:szCs w:val="16"/>
    </w:rPr>
  </w:style>
  <w:style w:type="paragraph" w:styleId="Tekstkomentarza">
    <w:name w:val="annotation text"/>
    <w:basedOn w:val="Normalny"/>
    <w:link w:val="TekstkomentarzaZnak"/>
    <w:uiPriority w:val="99"/>
    <w:semiHidden/>
    <w:unhideWhenUsed/>
    <w:rsid w:val="008F440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F440D"/>
    <w:rPr>
      <w:rFonts w:eastAsiaTheme="minorEastAsia"/>
      <w:sz w:val="20"/>
      <w:szCs w:val="20"/>
    </w:rPr>
  </w:style>
  <w:style w:type="paragraph" w:styleId="Tematkomentarza">
    <w:name w:val="annotation subject"/>
    <w:basedOn w:val="Tekstkomentarza"/>
    <w:next w:val="Tekstkomentarza"/>
    <w:link w:val="TematkomentarzaZnak"/>
    <w:uiPriority w:val="99"/>
    <w:semiHidden/>
    <w:unhideWhenUsed/>
    <w:rsid w:val="008F440D"/>
    <w:rPr>
      <w:b/>
      <w:bCs/>
    </w:rPr>
  </w:style>
  <w:style w:type="character" w:customStyle="1" w:styleId="TematkomentarzaZnak">
    <w:name w:val="Temat komentarza Znak"/>
    <w:basedOn w:val="TekstkomentarzaZnak"/>
    <w:link w:val="Tematkomentarza"/>
    <w:uiPriority w:val="99"/>
    <w:semiHidden/>
    <w:rsid w:val="008F440D"/>
    <w:rPr>
      <w:rFonts w:eastAsiaTheme="minorEastAsia"/>
      <w:b/>
      <w:bCs/>
      <w:sz w:val="20"/>
      <w:szCs w:val="20"/>
    </w:rPr>
  </w:style>
  <w:style w:type="paragraph" w:styleId="Tekstdymka">
    <w:name w:val="Balloon Text"/>
    <w:basedOn w:val="Normalny"/>
    <w:link w:val="TekstdymkaZnak"/>
    <w:uiPriority w:val="99"/>
    <w:semiHidden/>
    <w:unhideWhenUsed/>
    <w:rsid w:val="008F440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440D"/>
    <w:rPr>
      <w:rFonts w:ascii="Segoe UI" w:eastAsiaTheme="minorEastAsia" w:hAnsi="Segoe UI" w:cs="Segoe UI"/>
      <w:sz w:val="18"/>
      <w:szCs w:val="18"/>
    </w:rPr>
  </w:style>
  <w:style w:type="paragraph" w:styleId="Nagwek">
    <w:name w:val="header"/>
    <w:basedOn w:val="Normalny"/>
    <w:link w:val="NagwekZnak"/>
    <w:uiPriority w:val="99"/>
    <w:unhideWhenUsed/>
    <w:rsid w:val="002753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53F2"/>
    <w:rPr>
      <w:rFonts w:eastAsiaTheme="minorEastAsia"/>
      <w:sz w:val="24"/>
    </w:rPr>
  </w:style>
  <w:style w:type="paragraph" w:styleId="Stopka">
    <w:name w:val="footer"/>
    <w:basedOn w:val="Normalny"/>
    <w:link w:val="StopkaZnak"/>
    <w:uiPriority w:val="99"/>
    <w:unhideWhenUsed/>
    <w:rsid w:val="002753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53F2"/>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łódzkie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WARTOSCI'!$A$22:$A$24</c:f>
              <c:strCache>
                <c:ptCount val="3"/>
                <c:pt idx="0">
                  <c:v>Centrum Promocji i Rozwoju Inicjatyw Obywatelskich OPUS</c:v>
                </c:pt>
                <c:pt idx="1">
                  <c:v>Łódzki Ośrodek Wsparcia Ekonomii Społecznej Stowarzyszenie Wsparcie Społeczne "Ja-Ty-My"</c:v>
                </c:pt>
                <c:pt idx="2">
                  <c:v>OWES Centrum KLUCZ</c:v>
                </c:pt>
              </c:strCache>
            </c:strRef>
          </c:cat>
          <c:val>
            <c:numRef>
              <c:f>'WG OWES WARTOSCI'!$D$22:$D$24</c:f>
              <c:numCache>
                <c:formatCode>0%</c:formatCode>
                <c:ptCount val="3"/>
                <c:pt idx="0">
                  <c:v>1</c:v>
                </c:pt>
                <c:pt idx="1">
                  <c:v>0.8</c:v>
                </c:pt>
                <c:pt idx="2">
                  <c:v>0.85185185185185186</c:v>
                </c:pt>
              </c:numCache>
            </c:numRef>
          </c:val>
          <c:extLst>
            <c:ext xmlns:c16="http://schemas.microsoft.com/office/drawing/2014/chart" uri="{C3380CC4-5D6E-409C-BE32-E72D297353CC}">
              <c16:uniqueId val="{00000000-2E4C-4215-A539-34227A542997}"/>
            </c:ext>
          </c:extLst>
        </c:ser>
        <c:dLbls>
          <c:showLegendKey val="0"/>
          <c:showVal val="1"/>
          <c:showCatName val="0"/>
          <c:showSerName val="0"/>
          <c:showPercent val="0"/>
          <c:showBubbleSize val="0"/>
        </c:dLbls>
        <c:gapWidth val="150"/>
        <c:overlap val="-25"/>
        <c:axId val="293879968"/>
        <c:axId val="293882712"/>
      </c:barChart>
      <c:catAx>
        <c:axId val="293879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93882712"/>
        <c:crosses val="autoZero"/>
        <c:auto val="1"/>
        <c:lblAlgn val="ctr"/>
        <c:lblOffset val="100"/>
        <c:noMultiLvlLbl val="0"/>
      </c:catAx>
      <c:valAx>
        <c:axId val="293882712"/>
        <c:scaling>
          <c:orientation val="minMax"/>
        </c:scaling>
        <c:delete val="1"/>
        <c:axPos val="l"/>
        <c:numFmt formatCode="0%" sourceLinked="1"/>
        <c:majorTickMark val="out"/>
        <c:minorTickMark val="none"/>
        <c:tickLblPos val="nextTo"/>
        <c:crossAx val="2938799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Problemy utrudniające znalezienie pracy</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manualLayout>
          <c:layoutTarget val="inner"/>
          <c:xMode val="edge"/>
          <c:yMode val="edge"/>
          <c:x val="0.49913379009441994"/>
          <c:y val="0.30167037861915369"/>
          <c:w val="0.47316058219995227"/>
          <c:h val="0.63708240534521154"/>
        </c:manualLayout>
      </c:layout>
      <c:barChart>
        <c:barDir val="bar"/>
        <c:grouping val="clustered"/>
        <c:varyColors val="0"/>
        <c:ser>
          <c:idx val="0"/>
          <c:order val="0"/>
          <c:tx>
            <c:strRef>
              <c:f>bariery!$B$24</c:f>
              <c:strCache>
                <c:ptCount val="1"/>
                <c:pt idx="0">
                  <c:v>łódzkie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bariery!$C$24:$N$24</c:f>
              <c:numCache>
                <c:formatCode>0%</c:formatCode>
                <c:ptCount val="12"/>
                <c:pt idx="0">
                  <c:v>0.2857142857142857</c:v>
                </c:pt>
                <c:pt idx="1">
                  <c:v>0.38095238095238093</c:v>
                </c:pt>
                <c:pt idx="2">
                  <c:v>9.5238095238095233E-2</c:v>
                </c:pt>
                <c:pt idx="3">
                  <c:v>0.2857142857142857</c:v>
                </c:pt>
                <c:pt idx="4">
                  <c:v>0</c:v>
                </c:pt>
                <c:pt idx="5">
                  <c:v>4.7619047619047616E-2</c:v>
                </c:pt>
                <c:pt idx="6">
                  <c:v>0.14285714285714285</c:v>
                </c:pt>
                <c:pt idx="7">
                  <c:v>0.7142857142857143</c:v>
                </c:pt>
                <c:pt idx="8">
                  <c:v>0</c:v>
                </c:pt>
                <c:pt idx="9">
                  <c:v>0</c:v>
                </c:pt>
                <c:pt idx="10">
                  <c:v>0</c:v>
                </c:pt>
                <c:pt idx="11">
                  <c:v>4.7619047619047616E-2</c:v>
                </c:pt>
              </c:numCache>
            </c:numRef>
          </c:val>
          <c:extLst>
            <c:ext xmlns:c16="http://schemas.microsoft.com/office/drawing/2014/chart" uri="{C3380CC4-5D6E-409C-BE32-E72D297353CC}">
              <c16:uniqueId val="{00000000-0D3A-408D-B425-AC5D9EC429AF}"/>
            </c:ext>
          </c:extLst>
        </c:ser>
        <c:dLbls>
          <c:showLegendKey val="0"/>
          <c:showVal val="1"/>
          <c:showCatName val="0"/>
          <c:showSerName val="0"/>
          <c:showPercent val="0"/>
          <c:showBubbleSize val="0"/>
        </c:dLbls>
        <c:gapWidth val="150"/>
        <c:overlap val="-25"/>
        <c:axId val="577475208"/>
        <c:axId val="577476384"/>
      </c:barChart>
      <c:catAx>
        <c:axId val="5774752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7476384"/>
        <c:crosses val="autoZero"/>
        <c:auto val="1"/>
        <c:lblAlgn val="ctr"/>
        <c:lblOffset val="100"/>
        <c:noMultiLvlLbl val="0"/>
      </c:catAx>
      <c:valAx>
        <c:axId val="577476384"/>
        <c:scaling>
          <c:orientation val="minMax"/>
        </c:scaling>
        <c:delete val="1"/>
        <c:axPos val="t"/>
        <c:numFmt formatCode="0%" sourceLinked="1"/>
        <c:majorTickMark val="none"/>
        <c:minorTickMark val="none"/>
        <c:tickLblPos val="nextTo"/>
        <c:crossAx val="5774752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łódzkie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owes!$A$21:$A$23</c:f>
              <c:strCache>
                <c:ptCount val="3"/>
                <c:pt idx="0">
                  <c:v>CENTRUM PROMOCJI I ROZWOJU INICJATYW OBYWATELSKICH OPUS</c:v>
                </c:pt>
                <c:pt idx="1">
                  <c:v>OWES Centrum KLUCZ</c:v>
                </c:pt>
                <c:pt idx="2">
                  <c:v>OWES Ja-Ty-My, Stowarzyszenie Wsparcie Społeczne Ja-Ty-My</c:v>
                </c:pt>
              </c:strCache>
            </c:strRef>
          </c:cat>
          <c:val>
            <c:numRef>
              <c:f>owes!$D$21:$D$23</c:f>
              <c:numCache>
                <c:formatCode>0%</c:formatCode>
                <c:ptCount val="3"/>
                <c:pt idx="0">
                  <c:v>1</c:v>
                </c:pt>
                <c:pt idx="1">
                  <c:v>1</c:v>
                </c:pt>
                <c:pt idx="2">
                  <c:v>0.86046511627906974</c:v>
                </c:pt>
              </c:numCache>
            </c:numRef>
          </c:val>
          <c:extLst>
            <c:ext xmlns:c16="http://schemas.microsoft.com/office/drawing/2014/chart" uri="{C3380CC4-5D6E-409C-BE32-E72D297353CC}">
              <c16:uniqueId val="{00000000-E60A-4668-93C6-9C6F44817730}"/>
            </c:ext>
          </c:extLst>
        </c:ser>
        <c:dLbls>
          <c:showLegendKey val="0"/>
          <c:showVal val="1"/>
          <c:showCatName val="0"/>
          <c:showSerName val="0"/>
          <c:showPercent val="0"/>
          <c:showBubbleSize val="0"/>
        </c:dLbls>
        <c:gapWidth val="150"/>
        <c:overlap val="-25"/>
        <c:axId val="293883104"/>
        <c:axId val="293880752"/>
      </c:barChart>
      <c:catAx>
        <c:axId val="293883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93880752"/>
        <c:crosses val="autoZero"/>
        <c:auto val="1"/>
        <c:lblAlgn val="ctr"/>
        <c:lblOffset val="100"/>
        <c:noMultiLvlLbl val="0"/>
      </c:catAx>
      <c:valAx>
        <c:axId val="293880752"/>
        <c:scaling>
          <c:orientation val="minMax"/>
        </c:scaling>
        <c:delete val="1"/>
        <c:axPos val="l"/>
        <c:numFmt formatCode="0%" sourceLinked="1"/>
        <c:majorTickMark val="none"/>
        <c:minorTickMark val="none"/>
        <c:tickLblPos val="nextTo"/>
        <c:crossAx val="2938831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Jak długo istniały stanowiska pracy, które zostały zlikwidowane? - łódzkie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likwidowane!$B$9</c:f>
              <c:strCache>
                <c:ptCount val="1"/>
                <c:pt idx="0">
                  <c:v>łódzkie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likwidowane!$C$9:$G$9</c:f>
              <c:numCache>
                <c:formatCode>0%</c:formatCode>
                <c:ptCount val="5"/>
                <c:pt idx="0">
                  <c:v>0</c:v>
                </c:pt>
                <c:pt idx="1">
                  <c:v>0</c:v>
                </c:pt>
                <c:pt idx="2">
                  <c:v>0.54545454545454541</c:v>
                </c:pt>
                <c:pt idx="3">
                  <c:v>0.45454545454545453</c:v>
                </c:pt>
                <c:pt idx="4">
                  <c:v>0</c:v>
                </c:pt>
              </c:numCache>
            </c:numRef>
          </c:val>
          <c:extLst>
            <c:ext xmlns:c16="http://schemas.microsoft.com/office/drawing/2014/chart" uri="{C3380CC4-5D6E-409C-BE32-E72D297353CC}">
              <c16:uniqueId val="{00000000-73D3-4CFD-AB6E-B6B415FB59D3}"/>
            </c:ext>
          </c:extLst>
        </c:ser>
        <c:dLbls>
          <c:showLegendKey val="0"/>
          <c:showVal val="1"/>
          <c:showCatName val="0"/>
          <c:showSerName val="0"/>
          <c:showPercent val="0"/>
          <c:showBubbleSize val="0"/>
        </c:dLbls>
        <c:gapWidth val="150"/>
        <c:overlap val="-25"/>
        <c:axId val="293884280"/>
        <c:axId val="293885064"/>
      </c:barChart>
      <c:catAx>
        <c:axId val="293884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93885064"/>
        <c:crosses val="autoZero"/>
        <c:auto val="1"/>
        <c:lblAlgn val="ctr"/>
        <c:lblOffset val="100"/>
        <c:noMultiLvlLbl val="0"/>
      </c:catAx>
      <c:valAx>
        <c:axId val="293885064"/>
        <c:scaling>
          <c:orientation val="minMax"/>
        </c:scaling>
        <c:delete val="1"/>
        <c:axPos val="l"/>
        <c:numFmt formatCode="0%" sourceLinked="1"/>
        <c:majorTickMark val="none"/>
        <c:minorTickMark val="none"/>
        <c:tickLblPos val="nextTo"/>
        <c:crossAx val="293884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Obszary działalności przedsiębiorstw społecznych - łódzkie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branze!$G$23</c:f>
              <c:strCache>
                <c:ptCount val="1"/>
                <c:pt idx="0">
                  <c:v>łódzkie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branze!$G$24:$G$40</c:f>
              <c:numCache>
                <c:formatCode>0%</c:formatCode>
                <c:ptCount val="17"/>
                <c:pt idx="0">
                  <c:v>0.52380952380952384</c:v>
                </c:pt>
                <c:pt idx="1">
                  <c:v>0.42857142857142855</c:v>
                </c:pt>
                <c:pt idx="2">
                  <c:v>0</c:v>
                </c:pt>
                <c:pt idx="3">
                  <c:v>9.5238095238095233E-2</c:v>
                </c:pt>
                <c:pt idx="4">
                  <c:v>4.7619047619047616E-2</c:v>
                </c:pt>
                <c:pt idx="5">
                  <c:v>0</c:v>
                </c:pt>
                <c:pt idx="6">
                  <c:v>0.33333333333333331</c:v>
                </c:pt>
                <c:pt idx="7">
                  <c:v>0</c:v>
                </c:pt>
                <c:pt idx="8">
                  <c:v>0</c:v>
                </c:pt>
                <c:pt idx="9">
                  <c:v>4.7619047619047616E-2</c:v>
                </c:pt>
                <c:pt idx="10">
                  <c:v>4.7619047619047616E-2</c:v>
                </c:pt>
                <c:pt idx="11">
                  <c:v>0</c:v>
                </c:pt>
                <c:pt idx="12">
                  <c:v>0</c:v>
                </c:pt>
                <c:pt idx="13">
                  <c:v>0</c:v>
                </c:pt>
                <c:pt idx="14">
                  <c:v>0</c:v>
                </c:pt>
                <c:pt idx="15">
                  <c:v>0</c:v>
                </c:pt>
                <c:pt idx="16">
                  <c:v>0</c:v>
                </c:pt>
              </c:numCache>
            </c:numRef>
          </c:val>
          <c:extLst>
            <c:ext xmlns:c16="http://schemas.microsoft.com/office/drawing/2014/chart" uri="{C3380CC4-5D6E-409C-BE32-E72D297353CC}">
              <c16:uniqueId val="{00000000-2C1B-4C18-AC3C-C0185C22187F}"/>
            </c:ext>
          </c:extLst>
        </c:ser>
        <c:dLbls>
          <c:showLegendKey val="0"/>
          <c:showVal val="1"/>
          <c:showCatName val="0"/>
          <c:showSerName val="0"/>
          <c:showPercent val="0"/>
          <c:showBubbleSize val="0"/>
        </c:dLbls>
        <c:gapWidth val="150"/>
        <c:overlap val="-25"/>
        <c:axId val="293881144"/>
        <c:axId val="293881928"/>
      </c:barChart>
      <c:catAx>
        <c:axId val="293881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93881928"/>
        <c:crosses val="autoZero"/>
        <c:auto val="1"/>
        <c:lblAlgn val="ctr"/>
        <c:lblOffset val="100"/>
        <c:noMultiLvlLbl val="0"/>
      </c:catAx>
      <c:valAx>
        <c:axId val="293881928"/>
        <c:scaling>
          <c:orientation val="minMax"/>
        </c:scaling>
        <c:delete val="1"/>
        <c:axPos val="l"/>
        <c:numFmt formatCode="0%" sourceLinked="1"/>
        <c:majorTickMark val="none"/>
        <c:minorTickMark val="none"/>
        <c:tickLblPos val="nextTo"/>
        <c:crossAx val="2938811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Płeć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płeć!$B$6</c:f>
              <c:strCache>
                <c:ptCount val="1"/>
                <c:pt idx="0">
                  <c:v>łódzkie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A4-4AD7-A481-AC9914EBCDA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A4-4AD7-A481-AC9914EBCDA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płeć!$F$6:$G$6</c:f>
              <c:numCache>
                <c:formatCode>0%</c:formatCode>
                <c:ptCount val="2"/>
                <c:pt idx="0">
                  <c:v>0.29565217391304349</c:v>
                </c:pt>
                <c:pt idx="1">
                  <c:v>0.70434782608695656</c:v>
                </c:pt>
              </c:numCache>
            </c:numRef>
          </c:val>
          <c:extLst>
            <c:ext xmlns:c16="http://schemas.microsoft.com/office/drawing/2014/chart" uri="{C3380CC4-5D6E-409C-BE32-E72D297353CC}">
              <c16:uniqueId val="{00000004-ACA4-4AD7-A481-AC9914EBCDA3}"/>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wiek!$B$24</c:f>
              <c:strCache>
                <c:ptCount val="1"/>
                <c:pt idx="0">
                  <c:v>łódzkie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wiek!$C$24:$H$24</c:f>
              <c:numCache>
                <c:formatCode>0%</c:formatCode>
                <c:ptCount val="6"/>
                <c:pt idx="0">
                  <c:v>1.7391304347826087E-2</c:v>
                </c:pt>
                <c:pt idx="1">
                  <c:v>0.2</c:v>
                </c:pt>
                <c:pt idx="2">
                  <c:v>0.2608695652173913</c:v>
                </c:pt>
                <c:pt idx="3">
                  <c:v>0.32173913043478258</c:v>
                </c:pt>
                <c:pt idx="4">
                  <c:v>0.18260869565217391</c:v>
                </c:pt>
                <c:pt idx="5">
                  <c:v>1.7391304347826087E-2</c:v>
                </c:pt>
              </c:numCache>
            </c:numRef>
          </c:val>
          <c:extLst>
            <c:ext xmlns:c16="http://schemas.microsoft.com/office/drawing/2014/chart" uri="{C3380CC4-5D6E-409C-BE32-E72D297353CC}">
              <c16:uniqueId val="{00000000-80D0-4D0D-AE10-5CD21A077BD2}"/>
            </c:ext>
          </c:extLst>
        </c:ser>
        <c:dLbls>
          <c:showLegendKey val="0"/>
          <c:showVal val="1"/>
          <c:showCatName val="0"/>
          <c:showSerName val="0"/>
          <c:showPercent val="0"/>
          <c:showBubbleSize val="0"/>
        </c:dLbls>
        <c:gapWidth val="150"/>
        <c:overlap val="-25"/>
        <c:axId val="577478344"/>
        <c:axId val="577477952"/>
      </c:barChart>
      <c:catAx>
        <c:axId val="577478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7477952"/>
        <c:crosses val="autoZero"/>
        <c:auto val="1"/>
        <c:lblAlgn val="ctr"/>
        <c:lblOffset val="100"/>
        <c:noMultiLvlLbl val="0"/>
      </c:catAx>
      <c:valAx>
        <c:axId val="577477952"/>
        <c:scaling>
          <c:orientation val="minMax"/>
        </c:scaling>
        <c:delete val="1"/>
        <c:axPos val="l"/>
        <c:numFmt formatCode="0%" sourceLinked="1"/>
        <c:majorTickMark val="none"/>
        <c:minorTickMark val="none"/>
        <c:tickLblPos val="nextTo"/>
        <c:crossAx val="5774783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na rynku pracy</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status!$B$27</c:f>
              <c:strCache>
                <c:ptCount val="1"/>
                <c:pt idx="0">
                  <c:v>łódzkie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status!$C$27:$H$27</c:f>
              <c:numCache>
                <c:formatCode>0%</c:formatCode>
                <c:ptCount val="6"/>
                <c:pt idx="0">
                  <c:v>0.45217391304347826</c:v>
                </c:pt>
                <c:pt idx="1">
                  <c:v>0.2</c:v>
                </c:pt>
                <c:pt idx="2">
                  <c:v>0.31304347826086959</c:v>
                </c:pt>
                <c:pt idx="3">
                  <c:v>3.4782608695652174E-2</c:v>
                </c:pt>
                <c:pt idx="4">
                  <c:v>0</c:v>
                </c:pt>
                <c:pt idx="5">
                  <c:v>0</c:v>
                </c:pt>
              </c:numCache>
            </c:numRef>
          </c:val>
          <c:extLst>
            <c:ext xmlns:c16="http://schemas.microsoft.com/office/drawing/2014/chart" uri="{C3380CC4-5D6E-409C-BE32-E72D297353CC}">
              <c16:uniqueId val="{00000000-B00B-4FE3-B981-0C35EAD481DC}"/>
            </c:ext>
          </c:extLst>
        </c:ser>
        <c:dLbls>
          <c:showLegendKey val="0"/>
          <c:showVal val="1"/>
          <c:showCatName val="0"/>
          <c:showSerName val="0"/>
          <c:showPercent val="0"/>
          <c:showBubbleSize val="0"/>
        </c:dLbls>
        <c:gapWidth val="150"/>
        <c:overlap val="-25"/>
        <c:axId val="577479128"/>
        <c:axId val="577480696"/>
      </c:barChart>
      <c:catAx>
        <c:axId val="57747912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7480696"/>
        <c:crosses val="autoZero"/>
        <c:auto val="1"/>
        <c:lblAlgn val="ctr"/>
        <c:lblOffset val="100"/>
        <c:noMultiLvlLbl val="0"/>
      </c:catAx>
      <c:valAx>
        <c:axId val="577480696"/>
        <c:scaling>
          <c:orientation val="minMax"/>
        </c:scaling>
        <c:delete val="1"/>
        <c:axPos val="t"/>
        <c:numFmt formatCode="0%" sourceLinked="1"/>
        <c:majorTickMark val="none"/>
        <c:minorTickMark val="none"/>
        <c:tickLblPos val="nextTo"/>
        <c:crossAx val="57747912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osoby niepełnosprawnej</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ON!$B$26</c:f>
              <c:strCache>
                <c:ptCount val="1"/>
                <c:pt idx="0">
                  <c:v>łódzkie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51E-4843-8C90-E893A4831CB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51E-4843-8C90-E893A4831CB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ON!$C$26:$D$26</c:f>
              <c:numCache>
                <c:formatCode>0%</c:formatCode>
                <c:ptCount val="2"/>
                <c:pt idx="0">
                  <c:v>0.44347826086956521</c:v>
                </c:pt>
                <c:pt idx="1">
                  <c:v>0.55652173913043479</c:v>
                </c:pt>
              </c:numCache>
            </c:numRef>
          </c:val>
          <c:extLst>
            <c:ext xmlns:c16="http://schemas.microsoft.com/office/drawing/2014/chart" uri="{C3380CC4-5D6E-409C-BE32-E72D297353CC}">
              <c16:uniqueId val="{00000004-351E-4843-8C90-E893A4831CB6}"/>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wykszt!$B$24</c:f>
              <c:strCache>
                <c:ptCount val="1"/>
                <c:pt idx="0">
                  <c:v>łódzkie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wykszt!$C$24:$J$24</c:f>
              <c:numCache>
                <c:formatCode>0%</c:formatCode>
                <c:ptCount val="8"/>
                <c:pt idx="0">
                  <c:v>0</c:v>
                </c:pt>
                <c:pt idx="1">
                  <c:v>0.12173913043478261</c:v>
                </c:pt>
                <c:pt idx="2">
                  <c:v>0</c:v>
                </c:pt>
                <c:pt idx="3">
                  <c:v>0.16521739130434782</c:v>
                </c:pt>
                <c:pt idx="4">
                  <c:v>0.5043478260869565</c:v>
                </c:pt>
                <c:pt idx="5">
                  <c:v>0</c:v>
                </c:pt>
                <c:pt idx="6">
                  <c:v>8.6956521739130436E-3</c:v>
                </c:pt>
                <c:pt idx="7">
                  <c:v>0.2</c:v>
                </c:pt>
              </c:numCache>
            </c:numRef>
          </c:val>
          <c:extLst>
            <c:ext xmlns:c16="http://schemas.microsoft.com/office/drawing/2014/chart" uri="{C3380CC4-5D6E-409C-BE32-E72D297353CC}">
              <c16:uniqueId val="{00000000-5137-4784-B9E8-E87565B79B7C}"/>
            </c:ext>
          </c:extLst>
        </c:ser>
        <c:dLbls>
          <c:showLegendKey val="0"/>
          <c:showVal val="1"/>
          <c:showCatName val="0"/>
          <c:showSerName val="0"/>
          <c:showPercent val="0"/>
          <c:showBubbleSize val="0"/>
        </c:dLbls>
        <c:gapWidth val="150"/>
        <c:overlap val="-25"/>
        <c:axId val="577480304"/>
        <c:axId val="577481088"/>
      </c:barChart>
      <c:catAx>
        <c:axId val="5774803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7481088"/>
        <c:crosses val="autoZero"/>
        <c:auto val="1"/>
        <c:lblAlgn val="ctr"/>
        <c:lblOffset val="100"/>
        <c:noMultiLvlLbl val="0"/>
      </c:catAx>
      <c:valAx>
        <c:axId val="577481088"/>
        <c:scaling>
          <c:orientation val="minMax"/>
        </c:scaling>
        <c:delete val="1"/>
        <c:axPos val="b"/>
        <c:numFmt formatCode="0%" sourceLinked="1"/>
        <c:majorTickMark val="none"/>
        <c:minorTickMark val="none"/>
        <c:tickLblPos val="nextTo"/>
        <c:crossAx val="5774803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f61acb3-121d-4d71-bde7-5f2ffce99a80" xsi:nil="true"/>
    <lcf76f155ced4ddcb4097134ff3c332f xmlns="32b2fe3a-7a8c-4032-b4dd-3b68099be7d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802AA-DE55-40F1-A04B-F4CD1AD47F88}">
  <ds:schemaRefs>
    <ds:schemaRef ds:uri="http://schemas.microsoft.com/sharepoint/v3/contenttype/forms"/>
  </ds:schemaRefs>
</ds:datastoreItem>
</file>

<file path=customXml/itemProps2.xml><?xml version="1.0" encoding="utf-8"?>
<ds:datastoreItem xmlns:ds="http://schemas.openxmlformats.org/officeDocument/2006/customXml" ds:itemID="{8F465C01-5AC3-40BC-B0B0-C111E3DBD8DF}">
  <ds:schemaRef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af61acb3-121d-4d71-bde7-5f2ffce99a80"/>
    <ds:schemaRef ds:uri="32b2fe3a-7a8c-4032-b4dd-3b68099be7d8"/>
  </ds:schemaRefs>
</ds:datastoreItem>
</file>

<file path=customXml/itemProps3.xml><?xml version="1.0" encoding="utf-8"?>
<ds:datastoreItem xmlns:ds="http://schemas.openxmlformats.org/officeDocument/2006/customXml" ds:itemID="{DC791A72-08BD-48FB-AB76-72B4FB91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1097</Words>
  <Characters>6586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41</cp:revision>
  <cp:lastPrinted>2023-10-31T14:46:00Z</cp:lastPrinted>
  <dcterms:created xsi:type="dcterms:W3CDTF">2022-01-17T07:03:00Z</dcterms:created>
  <dcterms:modified xsi:type="dcterms:W3CDTF">2023-11-28T09:35:00Z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